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优选确认函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重庆长江黄金游轮有限公司：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贵司《关于20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优选</w:t>
      </w:r>
      <w:r>
        <w:rPr>
          <w:rFonts w:hint="eastAsia" w:ascii="方正仿宋_GBK" w:eastAsia="方正仿宋_GBK"/>
          <w:sz w:val="32"/>
          <w:szCs w:val="32"/>
          <w:lang w:eastAsia="zh-CN"/>
        </w:rPr>
        <w:t>片区</w:t>
      </w:r>
      <w:r>
        <w:rPr>
          <w:rFonts w:hint="eastAsia" w:ascii="方正仿宋_GBK" w:eastAsia="方正仿宋_GBK"/>
          <w:sz w:val="32"/>
          <w:szCs w:val="32"/>
        </w:rPr>
        <w:t>代理的公告》已收悉，我司已明晰公告全部内容，决定按公告时限及要求准备好优选书及相关资料，参加贵司本次优选。现将我司情况回执如下：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优选单位注册号码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优选单位注册地址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优选单位注册资本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法定代表人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授权优选人/优选联系人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意向区域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联系电话（手机及座机）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传真号码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公司银行账号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（用于退还优选保证金）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    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（如有额外事宜请填写）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40" w:firstLineChars="14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优选单位（公章）：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授权优选人（签字）：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8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国内市场部-迟健</cp:lastModifiedBy>
  <dcterms:modified xsi:type="dcterms:W3CDTF">2021-01-12T06:41:15Z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