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重庆长江黄金游轮有限公司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邮轮监控设备升级</w:t>
      </w:r>
      <w:r>
        <w:rPr>
          <w:rFonts w:hint="eastAsia" w:ascii="方正黑体_GBK" w:hAnsi="方正黑体_GBK" w:eastAsia="方正黑体_GBK" w:cs="方正黑体_GBK"/>
          <w:w w:val="95"/>
          <w:sz w:val="44"/>
          <w:szCs w:val="44"/>
          <w:lang w:eastAsia="zh-CN"/>
        </w:rPr>
        <w:t>项目竞价比选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为保障邮轮监控正常运行，根据主管部门相关要求，提升邮轮监控系统运行的稳定性和可靠性。现公告如下，欢迎符合条件的公司前来报名参加比选。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项目名称：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黄金系列邮轮监控设备升级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leftChars="0" w:right="0" w:firstLine="420" w:firstLineChars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</w:rPr>
        <w:t>需求数量：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eastAsia="zh-CN"/>
        </w:rPr>
        <w:t>黄金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1、2、5、6、7、8号邮轮。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</w:rPr>
        <w:t>三、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eastAsia="zh-CN"/>
        </w:rPr>
        <w:t>接收相关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u w:val="none"/>
          <w:shd w:val="clear" w:color="auto" w:fill="FFFFFF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（一）服务时间：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升级使用起一年。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1" w:leftChars="86" w:firstLine="411" w:firstLineChars="147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28"/>
        </w:rPr>
        <w:t>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1、供应商需按照服务范围及工作内容对船舶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监控系统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进行升级工作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2、供应商按照国家相关法律法规及标准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进行监控设备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及所属线路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升级工作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，并承担其过程中发生违法行为的全部责任。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报价要求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次为竞价比选。该报价包括了项目所需的管线材料、辅料、人工费、安装费、运输费、服务费及各种应纳的税费等提供服务所需要的其他一切相关费用，因中选供应商自身原因造成漏报、少报皆自行承担责任，采购人不再补偿。报价总价最低者成为本次第一中选服务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（四）竞选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人资格要求及数量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竞价比选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实行资格后审，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竞选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人应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具备相应的资质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条件，确保三家及以上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竞选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四、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竞选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人应具备的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条件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8" w:firstLineChars="196"/>
        <w:textAlignment w:val="auto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1、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服务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应商需按照服务范围及工作内容对船舶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相关位置的进行设备安装维修、调试，并保证售后服务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2、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设备质保期一年，售后及调试服务与质保期同步。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3、</w:t>
      </w:r>
      <w:bookmarkStart w:id="0" w:name="_GoBack"/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2021年8月31日前必须完成6艘邮轮的安装及调试交船方使用。</w:t>
      </w:r>
    </w:p>
    <w:bookmarkEnd w:id="0"/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 w:rightChars="0" w:firstLine="56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4、提供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营业执照复印件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（三证合一），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公司法人身份证复印件、法人授权委托人证明及被委托人身份证明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5、提交资料需加盖公章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/>
          <w:color w:val="333333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 xml:space="preserve">            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  <w:t xml:space="preserve">  重庆长江黄金游轮有限公司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 xml:space="preserve">                 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  <w:t>二〇二一年七月二十六日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  <w:t>附件：监控设备报价表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="1205" w:tblpY="663"/>
        <w:tblOverlap w:val="never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655"/>
        <w:gridCol w:w="765"/>
        <w:gridCol w:w="1620"/>
        <w:gridCol w:w="1005"/>
        <w:gridCol w:w="102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硬盘模拟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录像机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海康DS-7932HQH-K4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大华DH-HCVR5432L-V6 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32路模拟，4路音频输入4盘位。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两种种型号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提供现货型号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硬盘网络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录像机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海康DS-7732N-I4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海康DS-7932N-R4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32路网络，4路音频输入4盘位，2个千兆网口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两种型号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提供现货型号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监控硬盘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0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西部数据监控专用盘8TB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108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企业级NAS.缓存256M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摄像头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海康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DS-2CE56C3T-IT3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模拟输出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摄像头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海康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DS-IPC-T12-I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网络输出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安装费用</w:t>
            </w:r>
          </w:p>
        </w:tc>
        <w:tc>
          <w:tcPr>
            <w:tcW w:w="60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基础物料、人工费用、技术服务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总  额（元）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0" w:afterLines="0" w:afterAutospacing="0" w:line="500" w:lineRule="exact"/>
        <w:ind w:right="0"/>
        <w:jc w:val="center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w w:val="9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w w:val="95"/>
          <w:sz w:val="48"/>
          <w:szCs w:val="48"/>
          <w:shd w:val="clear" w:color="auto" w:fill="FFFFFF"/>
          <w:lang w:val="en-US" w:eastAsia="zh-CN"/>
        </w:rPr>
        <w:t>监控设备报价表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5EE73B"/>
    <w:multiLevelType w:val="singleLevel"/>
    <w:tmpl w:val="C85EE7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792332"/>
    <w:multiLevelType w:val="singleLevel"/>
    <w:tmpl w:val="037923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192F10"/>
    <w:multiLevelType w:val="singleLevel"/>
    <w:tmpl w:val="17192F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A0841"/>
    <w:rsid w:val="00BC0758"/>
    <w:rsid w:val="01CB08C8"/>
    <w:rsid w:val="02B731DD"/>
    <w:rsid w:val="03010DB5"/>
    <w:rsid w:val="05520A31"/>
    <w:rsid w:val="083A4FC1"/>
    <w:rsid w:val="09BB761D"/>
    <w:rsid w:val="0A3D731C"/>
    <w:rsid w:val="0CF518D0"/>
    <w:rsid w:val="0E4D5E72"/>
    <w:rsid w:val="12F27A1F"/>
    <w:rsid w:val="13113BCC"/>
    <w:rsid w:val="139A0841"/>
    <w:rsid w:val="150D691E"/>
    <w:rsid w:val="1C671DE4"/>
    <w:rsid w:val="1C753D7F"/>
    <w:rsid w:val="1D4E442F"/>
    <w:rsid w:val="1E52749A"/>
    <w:rsid w:val="1ECF07B4"/>
    <w:rsid w:val="21553D07"/>
    <w:rsid w:val="244549EF"/>
    <w:rsid w:val="24776064"/>
    <w:rsid w:val="259F3D63"/>
    <w:rsid w:val="25CF6D1B"/>
    <w:rsid w:val="268221FF"/>
    <w:rsid w:val="26C40AF8"/>
    <w:rsid w:val="26EE5EF3"/>
    <w:rsid w:val="28340024"/>
    <w:rsid w:val="2B424151"/>
    <w:rsid w:val="2C054939"/>
    <w:rsid w:val="2D0D6448"/>
    <w:rsid w:val="2ED23D92"/>
    <w:rsid w:val="2F6B749E"/>
    <w:rsid w:val="367F4513"/>
    <w:rsid w:val="38204032"/>
    <w:rsid w:val="3A98695B"/>
    <w:rsid w:val="3B8B6C69"/>
    <w:rsid w:val="3DE00113"/>
    <w:rsid w:val="3E712EBF"/>
    <w:rsid w:val="3ECC6C6D"/>
    <w:rsid w:val="419A385A"/>
    <w:rsid w:val="41C269FE"/>
    <w:rsid w:val="436354D1"/>
    <w:rsid w:val="451A345C"/>
    <w:rsid w:val="46982475"/>
    <w:rsid w:val="50FF1962"/>
    <w:rsid w:val="5594047C"/>
    <w:rsid w:val="5985440F"/>
    <w:rsid w:val="5B5468C7"/>
    <w:rsid w:val="5BEB4C01"/>
    <w:rsid w:val="5CF714D3"/>
    <w:rsid w:val="5E094C51"/>
    <w:rsid w:val="60271E4B"/>
    <w:rsid w:val="61087BCB"/>
    <w:rsid w:val="65AB6772"/>
    <w:rsid w:val="68B32CBD"/>
    <w:rsid w:val="6AC2218D"/>
    <w:rsid w:val="6AEA5F71"/>
    <w:rsid w:val="6C074789"/>
    <w:rsid w:val="6E1571C6"/>
    <w:rsid w:val="6E277BFC"/>
    <w:rsid w:val="6ED430EE"/>
    <w:rsid w:val="742812F8"/>
    <w:rsid w:val="74331321"/>
    <w:rsid w:val="750A0587"/>
    <w:rsid w:val="755E170B"/>
    <w:rsid w:val="75A00023"/>
    <w:rsid w:val="78111C10"/>
    <w:rsid w:val="7B1E3867"/>
    <w:rsid w:val="7BA52179"/>
    <w:rsid w:val="7C823CE4"/>
    <w:rsid w:val="7D5C6275"/>
    <w:rsid w:val="7E587788"/>
    <w:rsid w:val="7FC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2020-05-07T02:22:00Z</dcterms:created>
  <dc:creator>甜心</dc:creator>
  <cp:lastModifiedBy>甜心</cp:lastModifiedBy>
  <cp:lastPrinted>2020-05-12T07:47:00Z</cp:lastPrinted>
  <dcterms:modified xsi:type="dcterms:W3CDTF">2021-07-26T03:19:16Z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474028897_cloud</vt:lpwstr>
  </property>
</Properties>
</file>