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icrosoft YaHei UI" w:hAnsi="Microsoft YaHei UI" w:eastAsia="Microsoft YaHei UI" w:cs="Microsoft YaHei UI"/>
          <w:i w:val="0"/>
          <w:iCs w:val="0"/>
          <w:caps w:val="0"/>
          <w:spacing w:val="15"/>
          <w:sz w:val="22"/>
          <w:szCs w:val="22"/>
          <w:shd w:val="clear" w:fill="FFFFFE"/>
        </w:rPr>
      </w:pPr>
    </w:p>
    <w:p>
      <w:pPr>
        <w:rPr>
          <w:rFonts w:ascii="Microsoft YaHei UI" w:hAnsi="Microsoft YaHei UI" w:eastAsia="Microsoft YaHei UI" w:cs="Microsoft YaHei UI"/>
          <w:i w:val="0"/>
          <w:iCs w:val="0"/>
          <w:caps w:val="0"/>
          <w:spacing w:val="15"/>
          <w:sz w:val="22"/>
          <w:szCs w:val="22"/>
          <w:shd w:val="clear" w:fill="FFFFFE"/>
        </w:rPr>
      </w:pPr>
    </w:p>
    <w:tbl>
      <w:tblPr>
        <w:tblStyle w:val="3"/>
        <w:tblpPr w:leftFromText="180" w:rightFromText="180" w:vertAnchor="page" w:horzAnchor="margin" w:tblpXSpec="center" w:tblpY="366"/>
        <w:tblW w:w="54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11"/>
        <w:gridCol w:w="1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08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评分大类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具体项目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08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营销指标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sz w:val="21"/>
                <w:szCs w:val="16"/>
              </w:rPr>
              <w:t>80</w:t>
            </w: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分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  <w:t>网络及新媒体营销团队规模（提供必要证明如社保缴纳证明等）（10分）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团队人员组成：20人以上，得10分；11-19人，得6分；6-10人得3分，3-5人得1分；2人以下得0分。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直播间及主播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  <w:t>数量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  <w:t>网络店铺数量；（二选一）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有自己的直播间和固定主播。直播间数量、主播数量均在5个以上，得10分；直播间数量、固定主播数量在2-4个，得5分；直播间数量和主播数量小于2个，得1分。</w:t>
            </w:r>
          </w:p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自营网络店铺在5间以上，得10分；自营网络店铺在2-4间，得5分；店铺数量小于2间，得1分。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  <w:t>近5年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网络平台获奖情况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val="en-US" w:eastAsia="zh-CN"/>
              </w:rPr>
              <w:t>10分</w:t>
            </w:r>
            <w:r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5年来，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eastAsia="zh-CN"/>
              </w:rPr>
              <w:t>在网络新媒体领域获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eastAsia="zh-CN"/>
              </w:rPr>
              <w:t>各类奖项：获奖数在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5个以上，得10分；获奖数在2-4个得5分；获奖数小于2个，得1分；未获得过奖项，得0分；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近3年成功营销案例及数量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（15分）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近3年来成功的合作营销案例：有成功案例3个以上，并对公司具有很好借鉴意义，得15分；有成功案例1-2个，并具有一定借鉴意义，得10分；无成功案例，得0分。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  <w:t>关于游轮行业在网络新媒体领域的营销分析及推广计划（15分）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关于游轮行业在新媒体领域（不限于抖音、视频号、OTA平台、携程、去哪儿、天猫、小红书等）是否有良好的营销分析及推广计划（不限于三峡游轮）。对游轮行业有较好了解、优劣势分析得当、有相应的营销推广计划、破圈途径、营销手段、有一定的游轮行业推广和销售经验，得15分；对游轮行业有一定了解，有初步营销推广计划，有一定可操作性和参考价值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分；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未涉及游轮行业分析，但有其他领域营销推广计划，且具有一定的参考价值，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分；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未涉及到行业分析和推广计划，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Cs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新媒体销售情况（提供清晰的销售证明）（15分）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近一年来新媒体领域（不限于抖音、视频号、OTA平台、携程、去哪儿、天猫、小红书等店铺）的销售情况证明。以投标单位销售业绩排名，投标单位在意向单位排名中，位居第一、第二名，得15分；位居第三、第四、第五名，得10分；位居第六、第七、第八名，得6分；第九、第十名，得3分；排名第十名以后，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  <w:lang w:val="en-US" w:eastAsia="zh-CN"/>
              </w:rPr>
              <w:t>计划完成目标任务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（5分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_GBK" w:cs="Times New Roman"/>
                <w:sz w:val="18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网络代理根据公司发布的目标任务，承诺业绩完成目标。承诺目标任务不低于公司目标任务的，得5分；</w:t>
            </w:r>
            <w:bookmarkEnd w:id="0"/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低于目标任务，则不得分。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8" w:type="pct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资质指标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sz w:val="21"/>
                <w:szCs w:val="16"/>
              </w:rPr>
              <w:t>20</w:t>
            </w:r>
            <w:r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  <w:t>分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  <w:t>资料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</w:rPr>
              <w:t>整体情况（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</w:rPr>
              <w:t>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投标文件思路清晰、版面整洁、资料齐全得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分；文件较为完整、资料较为齐全得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分；</w:t>
            </w:r>
          </w:p>
          <w:p>
            <w:pPr>
              <w:spacing w:line="340" w:lineRule="exact"/>
              <w:rPr>
                <w:rFonts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投标文件资料缺项过多、思路混乱得0分。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方正仿宋_GBK" w:cs="Times New Roman"/>
                <w:sz w:val="20"/>
                <w:szCs w:val="21"/>
              </w:rPr>
              <w:t>综合实力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1"/>
              </w:rPr>
              <w:t>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 w:cs="Times New Roman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企业证照资质齐全、财务状况及综合信誉良好、</w:t>
            </w:r>
            <w:r>
              <w:rPr>
                <w:rFonts w:ascii="Times New Roman" w:hAnsi="Times New Roman" w:eastAsia="方正仿宋_GBK" w:cs="Times New Roman"/>
                <w:sz w:val="18"/>
                <w:szCs w:val="21"/>
              </w:rPr>
              <w:t>组织架构完善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且为当地企业得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分；证照资料较齐全、财务及状况信誉较好、</w:t>
            </w:r>
            <w:r>
              <w:rPr>
                <w:rFonts w:ascii="Times New Roman" w:hAnsi="Times New Roman" w:eastAsia="方正仿宋_GBK" w:cs="Times New Roman"/>
                <w:sz w:val="18"/>
                <w:szCs w:val="21"/>
              </w:rPr>
              <w:t>组织架构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较</w:t>
            </w:r>
            <w:r>
              <w:rPr>
                <w:rFonts w:ascii="Times New Roman" w:hAnsi="Times New Roman" w:eastAsia="方正仿宋_GBK" w:cs="Times New Roman"/>
                <w:sz w:val="18"/>
                <w:szCs w:val="21"/>
              </w:rPr>
              <w:t>完善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得2分；无证照资料、财务亏损、信誉较差、无固定办公场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</w:rPr>
              <w:t>所得0分。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08" w:type="pct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方正楷体_GBK" w:cs="Times New Roman"/>
                <w:bCs/>
                <w:sz w:val="21"/>
                <w:szCs w:val="16"/>
              </w:rPr>
            </w:pPr>
          </w:p>
        </w:tc>
        <w:tc>
          <w:tcPr>
            <w:tcW w:w="875" w:type="pc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val="en-US" w:eastAsia="zh-CN"/>
              </w:rPr>
              <w:t>近3年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</w:rPr>
              <w:t>业内口碑情况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val="en-US" w:eastAsia="zh-CN"/>
              </w:rPr>
              <w:t>可提供网络平台各类排名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0"/>
                <w:szCs w:val="21"/>
              </w:rPr>
              <w:t>分）</w:t>
            </w:r>
          </w:p>
        </w:tc>
        <w:tc>
          <w:tcPr>
            <w:tcW w:w="3716" w:type="pct"/>
            <w:noWrap w:val="0"/>
            <w:vAlign w:val="center"/>
          </w:tcPr>
          <w:p>
            <w:pPr>
              <w:spacing w:line="340" w:lineRule="exact"/>
              <w:rPr>
                <w:rFonts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近3年在互联网各类排名中，多次上榜前10，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业内口碑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教好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在互联网平台各类排名中，曾有上榜，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口碑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良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未有排名，但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业内口碑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良好，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分；业内口碑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val="en-US" w:eastAsia="zh-CN"/>
              </w:rPr>
              <w:t>一般或较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差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</w:rPr>
              <w:t>得0分。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18"/>
                <w:szCs w:val="21"/>
                <w:lang w:eastAsia="zh-CN"/>
              </w:rPr>
            </w:pPr>
            <w:r>
              <w:rPr>
                <w:rFonts w:hint="eastAsia"/>
                <w:sz w:val="15"/>
                <w:szCs w:val="16"/>
              </w:rPr>
              <w:t>备注：评委在评分过程中可结合参评资料实际，在单项评分标准内酌情评定分值。</w:t>
            </w:r>
          </w:p>
        </w:tc>
      </w:tr>
    </w:tbl>
    <w:p>
      <w:pPr>
        <w:rPr>
          <w:rFonts w:ascii="Microsoft YaHei UI" w:hAnsi="Microsoft YaHei UI" w:eastAsia="Microsoft YaHei UI" w:cs="Microsoft YaHei UI"/>
          <w:i w:val="0"/>
          <w:iCs w:val="0"/>
          <w:caps w:val="0"/>
          <w:spacing w:val="15"/>
          <w:sz w:val="22"/>
          <w:szCs w:val="22"/>
          <w:shd w:val="clear" w:fill="FFFFFE"/>
        </w:rPr>
      </w:pPr>
    </w:p>
    <w:p>
      <w:bookmarkStart w:id="1" w:name="_GoBack"/>
      <w:bookmarkEnd w:id="1"/>
    </w:p>
    <w:sectPr>
      <w:pgSz w:w="16838" w:h="11906" w:orient="landscape"/>
      <w:pgMar w:top="340" w:right="1440" w:bottom="2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WI2MTA2ZWUzYzIwOWY2MzJhZTI2NWI1YjhkNzcifQ=="/>
  </w:docVars>
  <w:rsids>
    <w:rsidRoot w:val="66404110"/>
    <w:rsid w:val="664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2024-03-15T12:54:00Z</dcterms:created>
  <dc:creator>Administrator</dc:creator>
  <cp:lastModifiedBy>Administrator</cp:lastModifiedBy>
  <dcterms:modified xsi:type="dcterms:W3CDTF">2024-03-15T12:54:55Z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DC0C0203886C4C109BA9C7C9A5E7B844_11</vt:lpwstr>
  </property>
</Properties>
</file>