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uto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附件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：</w:t>
      </w:r>
    </w:p>
    <w:tbl>
      <w:tblPr>
        <w:tblStyle w:val="2"/>
        <w:tblpPr w:leftFromText="180" w:rightFromText="180" w:vertAnchor="page" w:horzAnchor="margin" w:tblpXSpec="center" w:tblpY="806"/>
        <w:tblW w:w="5252" w:type="pct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311"/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1"/>
                <w:sz w:val="32"/>
                <w:szCs w:val="32"/>
                <w:highlight w:val="none"/>
              </w:rPr>
              <w:t>长江黄金邮轮产品运营方案比选评分表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7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评分大类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具体项目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07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营销指标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eastAsia="方正楷体_GBK"/>
                <w:bCs/>
                <w:color w:val="auto"/>
                <w:sz w:val="32"/>
                <w:highlight w:val="none"/>
                <w:lang w:val="en-US" w:eastAsia="zh-CN"/>
              </w:rPr>
              <w:t>70</w:t>
            </w: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分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产品运营重塑总体分析（10）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市场分析、市场预判、整体品宣及资金投放计划，表述完整分析得当，得10分；表述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较为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完整，得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分；表述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较为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完整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但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操作性不强，得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分；表述不清、内容不完备，得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邮轮重塑后的商业运营规划（1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产品运营重塑后的商业运营规划，表述详细完整有建设性策略意见，得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分；分析较为完整且建议有一定参考性，得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分；分析的全面但参考性不足，得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分；分析的不完整，策略参考性差得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品牌宣传与执行（10）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视觉设计思路及宣传推广策略清晰，具有实操性和创新性，得10分；宣传思路较为清晰、有所侧重得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分；宣传思路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较好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但参考性不足，得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分；宣传思路及策略建议性较差，得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产品设计、执行与品控（10）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产品设计/主题航次设计具有创新性、可操作性强，得10分；具有创新性，落地执行性稍差，得7分；创新性及执行性均一般，得4分；创新性不足，可执行性差，得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销售方案（10）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推介会及品宣推广活动策划方案 ：可执行性强，具备创意，得10分；具备创意，可执行性较差，得7分；创意性及可操作性一般，得4分；创意性及操作执行性不佳，得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运营商务（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产品、品牌引流链接第三方商务：表述完整，具备创意且操作性强，得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分；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表达较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完整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创意和操作性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较好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；完整性、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创新性及执行性均一般，得4分；不完整，创意及操作性不佳，得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销售辅助（5）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专业游轮销售平台系统建设，品牌酒管公司引进建议/品牌酒管顾问团队引进建议：表述完整，具备创意且操作性强，得5分；完整但创意和操作性一般，得3分；不完整，创意及操作性不佳，得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团队服务成员架构分工明确（5）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团队服务成员架构分工明确：架构清晰，分工明确，得5分；架构及分工模糊，得3分；架构及分工混乱得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07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资质指标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eastAsia="方正楷体_GBK"/>
                <w:bCs/>
                <w:color w:val="auto"/>
                <w:sz w:val="32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  <w:t>分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资料整体情况（5）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投标文件思路清晰、资料齐全，得5分；文件较为完整、资料较为齐全，得3分；投标文件资料缺项过多、思路混乱，得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楷体_GBK"/>
                <w:bCs/>
                <w:color w:val="auto"/>
                <w:sz w:val="32"/>
                <w:highlight w:val="none"/>
                <w:lang w:val="en-US"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历史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业绩（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2020年1月1日至今有5星级游轮品牌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酒店品牌管理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或其他大型企业项目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执行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业绩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每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1个业绩得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分；得满为止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；无业绩，得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。（提供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业绩合同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复印件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加盖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竞选人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公章。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0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/>
                <w:bCs/>
                <w:color w:val="auto"/>
                <w:sz w:val="32"/>
                <w:highlight w:val="none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/>
              </w:rPr>
              <w:t>单位获奖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（5）</w:t>
            </w:r>
          </w:p>
        </w:tc>
        <w:tc>
          <w:tcPr>
            <w:tcW w:w="3543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近 5 年来在五星级邮轮或同类产品相关领域获得各类奖项：获奖数在 5 个及以上，得 5 分；获奖数在4个得4 分；获奖数3个，得3 分；以此类推，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最低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0分。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（提供相应奖项的证明材料并加盖公章）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备注：评委在评分过程中可结合参评资料实际，在单项评分标准内酌情评定分值。</w:t>
            </w:r>
          </w:p>
        </w:tc>
      </w:tr>
    </w:tbl>
    <w:p>
      <w:pPr>
        <w:pStyle w:val="4"/>
        <w:spacing w:line="560" w:lineRule="exact"/>
        <w:rPr>
          <w:rFonts w:hint="eastAsia" w:ascii="方正仿宋_GBK" w:eastAsia="方正仿宋_GBK"/>
          <w:color w:val="auto"/>
          <w:sz w:val="32"/>
          <w:szCs w:val="32"/>
          <w:highlight w:val="none"/>
        </w:rPr>
        <w:sectPr>
          <w:pgSz w:w="16838" w:h="11906" w:orient="landscape"/>
          <w:pgMar w:top="0" w:right="2098" w:bottom="0" w:left="1985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7012197D"/>
    <w:rsid w:val="7012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2024-04-07T09:33:00Z</dcterms:created>
  <dc:creator>月球圣歌</dc:creator>
  <cp:lastModifiedBy>月球圣歌</cp:lastModifiedBy>
  <dcterms:modified xsi:type="dcterms:W3CDTF">2024-04-07T09:34:31Z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1E8A0F40AF024C1EB3CB17EC94C4C111_11</vt:lpwstr>
  </property>
</Properties>
</file>