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2024年船舶污染物委托接收竞价比选报价表</w:t>
      </w:r>
    </w:p>
    <w:bookmarkEnd w:id="0"/>
    <w:tbl>
      <w:tblPr>
        <w:tblStyle w:val="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接收内容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生活垃圾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130次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500元/次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黄金系列邮轮每艘次邮轮垃圾仓内接收完毕算一次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餐厨废弃食用油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1000元/吨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不足1吨按量折算单价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生活污水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4000吨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50元/吨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不限于舱底水、油污水、废油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600元/吨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287200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率税（）%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42411751"/>
    <w:rsid w:val="424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2024-05-30T07:14:00Z</dcterms:created>
  <dc:creator>月球圣歌</dc:creator>
  <cp:lastModifiedBy>月球圣歌</cp:lastModifiedBy>
  <dcterms:modified xsi:type="dcterms:W3CDTF">2024-05-30T07:15:17Z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D0E37A6200D94B81AEBF1A2A3C85C9F3_11</vt:lpwstr>
  </property>
</Properties>
</file>